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nter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Città Metropolitana di Roma Capital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